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AC" w:rsidRDefault="003452BD" w:rsidP="001366D7">
      <w:pPr>
        <w:snapToGrid w:val="0"/>
        <w:spacing w:beforeLines="100" w:afterLines="100" w:line="594" w:lineRule="exact"/>
        <w:ind w:firstLineChars="200" w:firstLine="867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商用密码产品认证目录（第二批）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275"/>
        <w:gridCol w:w="3827"/>
        <w:gridCol w:w="4184"/>
      </w:tblGrid>
      <w:tr w:rsidR="00A726AC" w:rsidTr="00982D8E">
        <w:trPr>
          <w:cantSplit/>
          <w:trHeight w:val="23"/>
          <w:tblHeader/>
          <w:jc w:val="center"/>
        </w:trPr>
        <w:tc>
          <w:tcPr>
            <w:tcW w:w="339" w:type="pct"/>
            <w:noWrap/>
            <w:vAlign w:val="center"/>
          </w:tcPr>
          <w:p w:rsidR="00A726AC" w:rsidRDefault="003452BD" w:rsidP="00982D8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Cs w:val="21"/>
              </w:rPr>
              <w:t>序号</w:t>
            </w:r>
          </w:p>
        </w:tc>
        <w:tc>
          <w:tcPr>
            <w:tcW w:w="640" w:type="pct"/>
            <w:noWrap/>
            <w:vAlign w:val="center"/>
          </w:tcPr>
          <w:p w:rsidR="00A726AC" w:rsidRDefault="003452BD" w:rsidP="00982D8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Cs w:val="21"/>
              </w:rPr>
              <w:t>产品种类</w:t>
            </w:r>
          </w:p>
        </w:tc>
        <w:tc>
          <w:tcPr>
            <w:tcW w:w="1921" w:type="pct"/>
            <w:noWrap/>
            <w:vAlign w:val="center"/>
          </w:tcPr>
          <w:p w:rsidR="00A726AC" w:rsidRDefault="003452BD" w:rsidP="00982D8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Cs w:val="21"/>
              </w:rPr>
              <w:t>产品描述</w:t>
            </w:r>
          </w:p>
        </w:tc>
        <w:tc>
          <w:tcPr>
            <w:tcW w:w="2100" w:type="pct"/>
            <w:noWrap/>
            <w:vAlign w:val="center"/>
          </w:tcPr>
          <w:p w:rsidR="00A726AC" w:rsidRDefault="003452BD" w:rsidP="00982D8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Cs w:val="21"/>
              </w:rPr>
              <w:t>认证依据</w:t>
            </w:r>
          </w:p>
        </w:tc>
      </w:tr>
      <w:tr w:rsidR="00A726AC" w:rsidTr="00982D8E">
        <w:trPr>
          <w:cantSplit/>
          <w:trHeight w:val="23"/>
          <w:tblHeader/>
          <w:jc w:val="center"/>
        </w:trPr>
        <w:tc>
          <w:tcPr>
            <w:tcW w:w="339" w:type="pct"/>
            <w:noWrap/>
            <w:vAlign w:val="center"/>
          </w:tcPr>
          <w:p w:rsidR="00A726AC" w:rsidRDefault="003452BD" w:rsidP="00982D8E">
            <w:pPr>
              <w:pStyle w:val="aa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</w:p>
        </w:tc>
        <w:tc>
          <w:tcPr>
            <w:tcW w:w="64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可信密码模块</w:t>
            </w:r>
          </w:p>
        </w:tc>
        <w:tc>
          <w:tcPr>
            <w:tcW w:w="1921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可信计算密码支撑平台的硬件模块，为可信计算平台提供密码运算功能，具有受保护的存储空间。</w:t>
            </w:r>
          </w:p>
        </w:tc>
        <w:tc>
          <w:tcPr>
            <w:tcW w:w="210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GM/T 0012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《可信计算可信密码模块接口规范》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GM/T 0028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《密码模块安全技术要求》</w:t>
            </w:r>
          </w:p>
        </w:tc>
      </w:tr>
      <w:tr w:rsidR="00A726AC" w:rsidTr="00982D8E">
        <w:trPr>
          <w:cantSplit/>
          <w:trHeight w:val="23"/>
          <w:tblHeader/>
          <w:jc w:val="center"/>
        </w:trPr>
        <w:tc>
          <w:tcPr>
            <w:tcW w:w="339" w:type="pct"/>
            <w:noWrap/>
            <w:vAlign w:val="center"/>
          </w:tcPr>
          <w:p w:rsidR="00A726AC" w:rsidRDefault="003452BD" w:rsidP="00982D8E">
            <w:pPr>
              <w:pStyle w:val="aa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</w:p>
        </w:tc>
        <w:tc>
          <w:tcPr>
            <w:tcW w:w="640" w:type="pct"/>
            <w:noWrap/>
            <w:vAlign w:val="center"/>
          </w:tcPr>
          <w:p w:rsidR="00A726AC" w:rsidRPr="001366D7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366D7">
              <w:rPr>
                <w:rFonts w:ascii="Times New Roman" w:eastAsia="仿宋_GB2312" w:hAnsi="Times New Roman" w:cs="Times New Roman"/>
                <w:bCs/>
                <w:szCs w:val="21"/>
              </w:rPr>
              <w:t>智能</w:t>
            </w:r>
            <w:r w:rsidRPr="001366D7">
              <w:rPr>
                <w:rFonts w:ascii="Times New Roman" w:eastAsia="仿宋_GB2312" w:hAnsi="Times New Roman" w:cs="Times New Roman"/>
                <w:bCs/>
                <w:szCs w:val="21"/>
              </w:rPr>
              <w:t>IC</w:t>
            </w:r>
            <w:r w:rsidRPr="001366D7">
              <w:rPr>
                <w:rFonts w:ascii="Times New Roman" w:eastAsia="仿宋_GB2312" w:hAnsi="Times New Roman" w:cs="Times New Roman"/>
                <w:bCs/>
                <w:szCs w:val="21"/>
              </w:rPr>
              <w:t>卡密钥管理系统</w:t>
            </w:r>
          </w:p>
        </w:tc>
        <w:tc>
          <w:tcPr>
            <w:tcW w:w="1921" w:type="pct"/>
            <w:noWrap/>
            <w:vAlign w:val="center"/>
          </w:tcPr>
          <w:p w:rsidR="00A726AC" w:rsidRPr="001366D7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366D7">
              <w:rPr>
                <w:rFonts w:ascii="Times New Roman" w:eastAsia="仿宋_GB2312" w:hAnsi="Times New Roman" w:cs="Times New Roman"/>
                <w:bCs/>
                <w:szCs w:val="21"/>
              </w:rPr>
              <w:t>针对智能</w:t>
            </w:r>
            <w:r w:rsidRPr="001366D7">
              <w:rPr>
                <w:rFonts w:ascii="Times New Roman" w:eastAsia="仿宋_GB2312" w:hAnsi="Times New Roman" w:cs="Times New Roman"/>
                <w:bCs/>
                <w:szCs w:val="21"/>
              </w:rPr>
              <w:t>IC</w:t>
            </w:r>
            <w:r w:rsidRPr="001366D7">
              <w:rPr>
                <w:rFonts w:ascii="Times New Roman" w:eastAsia="仿宋_GB2312" w:hAnsi="Times New Roman" w:cs="Times New Roman"/>
                <w:bCs/>
                <w:szCs w:val="21"/>
              </w:rPr>
              <w:t>卡应用所需的密钥生命周期统一管理系统，为使用密钥的智能</w:t>
            </w:r>
            <w:r w:rsidRPr="001366D7">
              <w:rPr>
                <w:rFonts w:ascii="Times New Roman" w:eastAsia="仿宋_GB2312" w:hAnsi="Times New Roman" w:cs="Times New Roman"/>
                <w:bCs/>
                <w:szCs w:val="21"/>
              </w:rPr>
              <w:t>IC</w:t>
            </w:r>
            <w:r w:rsidRPr="001366D7">
              <w:rPr>
                <w:rFonts w:ascii="Times New Roman" w:eastAsia="仿宋_GB2312" w:hAnsi="Times New Roman" w:cs="Times New Roman"/>
                <w:bCs/>
                <w:szCs w:val="21"/>
              </w:rPr>
              <w:t>卡相关业务系统提供密钥服务功能。</w:t>
            </w:r>
          </w:p>
        </w:tc>
        <w:tc>
          <w:tcPr>
            <w:tcW w:w="210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0107</w:t>
            </w:r>
            <w:r>
              <w:rPr>
                <w:rFonts w:ascii="Times New Roman" w:eastAsia="仿宋_GB2312" w:hAnsi="Times New Roman" w:cs="Times New Roman"/>
                <w:szCs w:val="21"/>
              </w:rPr>
              <w:t>《智能</w:t>
            </w:r>
            <w:r>
              <w:rPr>
                <w:rFonts w:ascii="Times New Roman" w:eastAsia="仿宋_GB2312" w:hAnsi="Times New Roman" w:cs="Times New Roman"/>
                <w:szCs w:val="21"/>
              </w:rPr>
              <w:t>IC</w:t>
            </w:r>
            <w:r>
              <w:rPr>
                <w:rFonts w:ascii="Times New Roman" w:eastAsia="仿宋_GB2312" w:hAnsi="Times New Roman" w:cs="Times New Roman"/>
                <w:szCs w:val="21"/>
              </w:rPr>
              <w:t>卡密钥管理系统基本技术要求》</w:t>
            </w:r>
          </w:p>
        </w:tc>
      </w:tr>
      <w:tr w:rsidR="00A726AC" w:rsidTr="00982D8E">
        <w:trPr>
          <w:cantSplit/>
          <w:trHeight w:val="23"/>
          <w:tblHeader/>
          <w:jc w:val="center"/>
        </w:trPr>
        <w:tc>
          <w:tcPr>
            <w:tcW w:w="339" w:type="pct"/>
            <w:noWrap/>
            <w:vAlign w:val="center"/>
          </w:tcPr>
          <w:p w:rsidR="00A726AC" w:rsidRDefault="003452BD" w:rsidP="00982D8E">
            <w:pPr>
              <w:pStyle w:val="aa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</w:p>
        </w:tc>
        <w:tc>
          <w:tcPr>
            <w:tcW w:w="64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云服务器密码机</w:t>
            </w:r>
          </w:p>
        </w:tc>
        <w:tc>
          <w:tcPr>
            <w:tcW w:w="1921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在云计算环境下，采用虚拟化技术，以网络形式，为多个租户的应用系统提供密码服务的服务器密码机。</w:t>
            </w:r>
          </w:p>
        </w:tc>
        <w:tc>
          <w:tcPr>
            <w:tcW w:w="210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0104</w:t>
            </w:r>
            <w:r>
              <w:rPr>
                <w:rFonts w:ascii="Times New Roman" w:eastAsia="仿宋_GB2312" w:hAnsi="Times New Roman" w:cs="Times New Roman"/>
                <w:szCs w:val="21"/>
              </w:rPr>
              <w:t>《云服务器密码机技术规范》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0028</w:t>
            </w:r>
            <w:r>
              <w:rPr>
                <w:rFonts w:ascii="Times New Roman" w:eastAsia="仿宋_GB2312" w:hAnsi="Times New Roman" w:cs="Times New Roman"/>
                <w:szCs w:val="21"/>
              </w:rPr>
              <w:t>《密码模块安全技术要求》</w:t>
            </w:r>
          </w:p>
        </w:tc>
      </w:tr>
      <w:tr w:rsidR="00A726AC" w:rsidTr="00982D8E">
        <w:trPr>
          <w:cantSplit/>
          <w:trHeight w:val="23"/>
          <w:tblHeader/>
          <w:jc w:val="center"/>
        </w:trPr>
        <w:tc>
          <w:tcPr>
            <w:tcW w:w="339" w:type="pct"/>
            <w:vMerge w:val="restart"/>
            <w:noWrap/>
            <w:vAlign w:val="center"/>
          </w:tcPr>
          <w:p w:rsidR="00A726AC" w:rsidRDefault="003452BD" w:rsidP="00982D8E">
            <w:pPr>
              <w:pStyle w:val="aa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</w:t>
            </w:r>
          </w:p>
        </w:tc>
        <w:tc>
          <w:tcPr>
            <w:tcW w:w="640" w:type="pct"/>
            <w:vMerge w:val="restar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随机数发生器</w:t>
            </w:r>
          </w:p>
        </w:tc>
        <w:tc>
          <w:tcPr>
            <w:tcW w:w="1921" w:type="pct"/>
            <w:vMerge w:val="restar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软件随机数发生器：产生随机二元序列的程序。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硬件随机数发生器：产生随机二元序列的器件。</w:t>
            </w:r>
          </w:p>
        </w:tc>
        <w:tc>
          <w:tcPr>
            <w:tcW w:w="210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软件随机数发生器：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0103</w:t>
            </w:r>
            <w:r>
              <w:rPr>
                <w:rFonts w:ascii="Times New Roman" w:eastAsia="仿宋_GB2312" w:hAnsi="Times New Roman" w:cs="Times New Roman"/>
                <w:szCs w:val="21"/>
              </w:rPr>
              <w:t>《随机数发生器总体框架》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0105</w:t>
            </w:r>
            <w:r>
              <w:rPr>
                <w:rFonts w:ascii="Times New Roman" w:eastAsia="仿宋_GB2312" w:hAnsi="Times New Roman" w:cs="Times New Roman"/>
                <w:szCs w:val="21"/>
              </w:rPr>
              <w:t>《软件随机数发生器设计指南》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0028</w:t>
            </w:r>
            <w:r>
              <w:rPr>
                <w:rFonts w:ascii="Times New Roman" w:eastAsia="仿宋_GB2312" w:hAnsi="Times New Roman" w:cs="Times New Roman"/>
                <w:szCs w:val="21"/>
              </w:rPr>
              <w:t>《密码模块安全技术要求》</w:t>
            </w:r>
          </w:p>
        </w:tc>
      </w:tr>
      <w:tr w:rsidR="00A726AC" w:rsidTr="00982D8E">
        <w:trPr>
          <w:cantSplit/>
          <w:trHeight w:val="23"/>
          <w:tblHeader/>
          <w:jc w:val="center"/>
        </w:trPr>
        <w:tc>
          <w:tcPr>
            <w:tcW w:w="339" w:type="pct"/>
            <w:vMerge/>
            <w:noWrap/>
            <w:vAlign w:val="center"/>
          </w:tcPr>
          <w:p w:rsidR="00A726AC" w:rsidRDefault="00A726AC" w:rsidP="00982D8E">
            <w:pPr>
              <w:pStyle w:val="aa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640" w:type="pct"/>
            <w:vMerge/>
            <w:noWrap/>
            <w:vAlign w:val="center"/>
          </w:tcPr>
          <w:p w:rsidR="00A726AC" w:rsidRDefault="00A726AC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21" w:type="pct"/>
            <w:vMerge/>
            <w:noWrap/>
            <w:vAlign w:val="center"/>
          </w:tcPr>
          <w:p w:rsidR="00A726AC" w:rsidRDefault="00A726AC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10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硬件随机数发生器：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0078</w:t>
            </w:r>
            <w:r>
              <w:rPr>
                <w:rFonts w:ascii="Times New Roman" w:eastAsia="仿宋_GB2312" w:hAnsi="Times New Roman" w:cs="Times New Roman"/>
                <w:szCs w:val="21"/>
              </w:rPr>
              <w:t>《密码随机数生成模块设计指南》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0103</w:t>
            </w:r>
            <w:r>
              <w:rPr>
                <w:rFonts w:ascii="Times New Roman" w:eastAsia="仿宋_GB2312" w:hAnsi="Times New Roman" w:cs="Times New Roman"/>
                <w:szCs w:val="21"/>
              </w:rPr>
              <w:t>《随机数发生器总体框架》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0028</w:t>
            </w:r>
            <w:r>
              <w:rPr>
                <w:rFonts w:ascii="Times New Roman" w:eastAsia="仿宋_GB2312" w:hAnsi="Times New Roman" w:cs="Times New Roman"/>
                <w:szCs w:val="21"/>
              </w:rPr>
              <w:t>《密码模块安全技术要求》</w:t>
            </w:r>
          </w:p>
        </w:tc>
      </w:tr>
      <w:tr w:rsidR="00A726AC" w:rsidTr="00982D8E">
        <w:trPr>
          <w:cantSplit/>
          <w:trHeight w:val="23"/>
          <w:tblHeader/>
          <w:jc w:val="center"/>
        </w:trPr>
        <w:tc>
          <w:tcPr>
            <w:tcW w:w="339" w:type="pct"/>
            <w:noWrap/>
            <w:vAlign w:val="center"/>
          </w:tcPr>
          <w:p w:rsidR="00A726AC" w:rsidRDefault="003452BD" w:rsidP="00982D8E">
            <w:pPr>
              <w:pStyle w:val="aa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5</w:t>
            </w:r>
          </w:p>
        </w:tc>
        <w:tc>
          <w:tcPr>
            <w:tcW w:w="64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区块链密码模块</w:t>
            </w:r>
          </w:p>
        </w:tc>
        <w:tc>
          <w:tcPr>
            <w:tcW w:w="1921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以区块链技术为核心，用于用户安全、共识安全、账本保护、对等网络安全、计算和存储安全、隐私保护、身份认证和管理等的密码模块。</w:t>
            </w:r>
          </w:p>
        </w:tc>
        <w:tc>
          <w:tcPr>
            <w:tcW w:w="210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GM/T 0111 </w:t>
            </w:r>
            <w:r>
              <w:rPr>
                <w:rFonts w:ascii="Times New Roman" w:eastAsia="仿宋_GB2312" w:hAnsi="Times New Roman" w:cs="Times New Roman"/>
                <w:szCs w:val="21"/>
              </w:rPr>
              <w:t>《区块链密码应用技术要求》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0028</w:t>
            </w:r>
            <w:r>
              <w:rPr>
                <w:rFonts w:ascii="Times New Roman" w:eastAsia="仿宋_GB2312" w:hAnsi="Times New Roman" w:cs="Times New Roman"/>
                <w:szCs w:val="21"/>
              </w:rPr>
              <w:t>《密码模块安全技术要求》</w:t>
            </w:r>
          </w:p>
        </w:tc>
      </w:tr>
      <w:tr w:rsidR="00A726AC" w:rsidTr="00982D8E">
        <w:trPr>
          <w:cantSplit/>
          <w:trHeight w:val="23"/>
          <w:tblHeader/>
          <w:jc w:val="center"/>
        </w:trPr>
        <w:tc>
          <w:tcPr>
            <w:tcW w:w="339" w:type="pct"/>
            <w:noWrap/>
            <w:vAlign w:val="center"/>
          </w:tcPr>
          <w:p w:rsidR="00A726AC" w:rsidRDefault="003452BD" w:rsidP="00982D8E">
            <w:pPr>
              <w:pStyle w:val="aa"/>
              <w:spacing w:line="3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6</w:t>
            </w:r>
          </w:p>
        </w:tc>
        <w:tc>
          <w:tcPr>
            <w:tcW w:w="64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安全浏览器密码模块</w:t>
            </w:r>
          </w:p>
        </w:tc>
        <w:tc>
          <w:tcPr>
            <w:tcW w:w="1921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具有浏览器内核、浏览器界面、密码算法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传输层密码协议逻辑运算模块等组成的浏览器密码模块。</w:t>
            </w:r>
          </w:p>
        </w:tc>
        <w:tc>
          <w:tcPr>
            <w:tcW w:w="2100" w:type="pct"/>
            <w:noWrap/>
            <w:vAlign w:val="center"/>
          </w:tcPr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0087</w:t>
            </w:r>
            <w:r>
              <w:rPr>
                <w:rFonts w:ascii="Times New Roman" w:eastAsia="仿宋_GB2312" w:hAnsi="Times New Roman" w:cs="Times New Roman"/>
                <w:szCs w:val="21"/>
              </w:rPr>
              <w:t>《浏览器密码应用接口规范》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GM/T 0028</w:t>
            </w:r>
            <w:r>
              <w:rPr>
                <w:rFonts w:ascii="Times New Roman" w:eastAsia="仿宋_GB2312" w:hAnsi="Times New Roman" w:cs="Times New Roman"/>
                <w:szCs w:val="21"/>
              </w:rPr>
              <w:t>《密码模块安全技术要求》</w:t>
            </w:r>
          </w:p>
          <w:p w:rsidR="00A726AC" w:rsidRDefault="003452BD" w:rsidP="00982D8E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GB/T 38636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《信息安全技术传输层密码协议（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TLCP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）》</w:t>
            </w:r>
          </w:p>
        </w:tc>
      </w:tr>
    </w:tbl>
    <w:p w:rsidR="00A726AC" w:rsidRDefault="00A726AC" w:rsidP="00982D8E">
      <w:pPr>
        <w:pStyle w:val="a3"/>
        <w:adjustRightInd w:val="0"/>
        <w:snapToGrid w:val="0"/>
        <w:spacing w:line="20" w:lineRule="exact"/>
        <w:ind w:firstLineChars="0" w:firstLine="0"/>
        <w:jc w:val="left"/>
        <w:rPr>
          <w:rFonts w:ascii="仿宋_GB2312" w:eastAsia="仿宋_GB2312" w:hAnsi="仿宋_GB2312"/>
          <w:sz w:val="32"/>
          <w:szCs w:val="32"/>
        </w:rPr>
      </w:pPr>
    </w:p>
    <w:sectPr w:rsidR="00A726AC" w:rsidSect="00982D8E">
      <w:footerReference w:type="even" r:id="rId6"/>
      <w:footerReference w:type="default" r:id="rId7"/>
      <w:pgSz w:w="11906" w:h="16838"/>
      <w:pgMar w:top="1440" w:right="1080" w:bottom="1440" w:left="1080" w:header="851" w:footer="1361" w:gutter="0"/>
      <w:cols w:space="0"/>
      <w:docGrid w:type="linesAndChars" w:linePitch="287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3FA" w:rsidRDefault="004B03FA" w:rsidP="00A726AC">
      <w:r>
        <w:separator/>
      </w:r>
    </w:p>
  </w:endnote>
  <w:endnote w:type="continuationSeparator" w:id="1">
    <w:p w:rsidR="004B03FA" w:rsidRDefault="004B03FA" w:rsidP="00A72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AC" w:rsidRDefault="003452BD">
    <w:pPr>
      <w:pStyle w:val="a6"/>
      <w:ind w:leftChars="150" w:left="315" w:rightChars="150" w:right="315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87707E">
      <w:rPr>
        <w:rFonts w:asciiTheme="minorEastAsia" w:hAnsiTheme="minorEastAsia" w:hint="eastAsia"/>
        <w:sz w:val="28"/>
        <w:szCs w:val="28"/>
      </w:rPr>
      <w:fldChar w:fldCharType="begin"/>
    </w:r>
    <w:r>
      <w:rPr>
        <w:rFonts w:asciiTheme="minorEastAsia" w:hAnsiTheme="minorEastAsia" w:hint="eastAsia"/>
        <w:sz w:val="28"/>
        <w:szCs w:val="28"/>
      </w:rPr>
      <w:instrText xml:space="preserve"> PAGE \* MERGEFORMAT </w:instrText>
    </w:r>
    <w:r w:rsidR="0087707E">
      <w:rPr>
        <w:rFonts w:asciiTheme="minorEastAsia" w:hAnsiTheme="minorEastAsia" w:hint="eastAsia"/>
        <w:sz w:val="28"/>
        <w:szCs w:val="28"/>
      </w:rPr>
      <w:fldChar w:fldCharType="separate"/>
    </w:r>
    <w:r w:rsidR="00982D8E">
      <w:rPr>
        <w:rFonts w:asciiTheme="minorEastAsia" w:hAnsiTheme="minorEastAsia"/>
        <w:noProof/>
        <w:sz w:val="28"/>
        <w:szCs w:val="28"/>
      </w:rPr>
      <w:t>2</w:t>
    </w:r>
    <w:r w:rsidR="0087707E">
      <w:rPr>
        <w:rFonts w:asciiTheme="minorEastAsia" w:hAnsiTheme="minorEastAsia" w:hint="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AC" w:rsidRDefault="003452BD">
    <w:pPr>
      <w:pStyle w:val="a6"/>
      <w:ind w:leftChars="150" w:left="315" w:rightChars="150" w:right="315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 </w:t>
    </w:r>
    <w:r w:rsidR="0087707E">
      <w:rPr>
        <w:rFonts w:asciiTheme="minorEastAsia" w:hAnsiTheme="minorEastAsia" w:hint="eastAsia"/>
        <w:sz w:val="28"/>
        <w:szCs w:val="28"/>
      </w:rPr>
      <w:fldChar w:fldCharType="begin"/>
    </w:r>
    <w:r>
      <w:rPr>
        <w:rFonts w:asciiTheme="minorEastAsia" w:hAnsiTheme="minorEastAsia" w:hint="eastAsia"/>
        <w:sz w:val="28"/>
        <w:szCs w:val="28"/>
      </w:rPr>
      <w:instrText xml:space="preserve"> PAGE \* MERGEFORMAT </w:instrText>
    </w:r>
    <w:r w:rsidR="0087707E">
      <w:rPr>
        <w:rFonts w:asciiTheme="minorEastAsia" w:hAnsiTheme="minorEastAsia" w:hint="eastAsia"/>
        <w:sz w:val="28"/>
        <w:szCs w:val="28"/>
      </w:rPr>
      <w:fldChar w:fldCharType="separate"/>
    </w:r>
    <w:r w:rsidR="001366D7">
      <w:rPr>
        <w:rFonts w:asciiTheme="minorEastAsia" w:hAnsiTheme="minorEastAsia"/>
        <w:noProof/>
        <w:sz w:val="28"/>
        <w:szCs w:val="28"/>
      </w:rPr>
      <w:t>1</w:t>
    </w:r>
    <w:r w:rsidR="0087707E">
      <w:rPr>
        <w:rFonts w:asciiTheme="minorEastAsia" w:hAnsiTheme="minorEastAsia" w:hint="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3FA" w:rsidRDefault="004B03FA" w:rsidP="00A726AC">
      <w:r>
        <w:separator/>
      </w:r>
    </w:p>
  </w:footnote>
  <w:footnote w:type="continuationSeparator" w:id="1">
    <w:p w:rsidR="004B03FA" w:rsidRDefault="004B03FA" w:rsidP="00A72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420"/>
  <w:evenAndOddHeaders/>
  <w:drawingGridHorizontalSpacing w:val="102"/>
  <w:drawingGridVerticalSpacing w:val="287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xYmI4YmI1NDgyNmQxNjM2N2M5ZjU2ZDA2ODk1NTQifQ=="/>
  </w:docVars>
  <w:rsids>
    <w:rsidRoot w:val="007D01E4"/>
    <w:rsid w:val="A577C910"/>
    <w:rsid w:val="CC3F2C09"/>
    <w:rsid w:val="CDEFF8CE"/>
    <w:rsid w:val="EFBFE3A5"/>
    <w:rsid w:val="F6BF4671"/>
    <w:rsid w:val="F9B52200"/>
    <w:rsid w:val="FAED3A2F"/>
    <w:rsid w:val="FF2F6A9F"/>
    <w:rsid w:val="FFBF443A"/>
    <w:rsid w:val="00006B5B"/>
    <w:rsid w:val="00006E3E"/>
    <w:rsid w:val="0001170B"/>
    <w:rsid w:val="00014A27"/>
    <w:rsid w:val="00020ABC"/>
    <w:rsid w:val="00035017"/>
    <w:rsid w:val="000374EE"/>
    <w:rsid w:val="0004309F"/>
    <w:rsid w:val="00055263"/>
    <w:rsid w:val="000A12D7"/>
    <w:rsid w:val="000A6737"/>
    <w:rsid w:val="000C11EA"/>
    <w:rsid w:val="000D29CE"/>
    <w:rsid w:val="000D313B"/>
    <w:rsid w:val="000E2CDC"/>
    <w:rsid w:val="00107822"/>
    <w:rsid w:val="001106DA"/>
    <w:rsid w:val="00125208"/>
    <w:rsid w:val="001366D7"/>
    <w:rsid w:val="00170DCC"/>
    <w:rsid w:val="001913E6"/>
    <w:rsid w:val="00196FBB"/>
    <w:rsid w:val="001A3011"/>
    <w:rsid w:val="001A7E82"/>
    <w:rsid w:val="001B6052"/>
    <w:rsid w:val="001C66C5"/>
    <w:rsid w:val="001D0921"/>
    <w:rsid w:val="001F2B0D"/>
    <w:rsid w:val="001F564D"/>
    <w:rsid w:val="002065AD"/>
    <w:rsid w:val="0021201B"/>
    <w:rsid w:val="002346A7"/>
    <w:rsid w:val="002441BC"/>
    <w:rsid w:val="00251FD2"/>
    <w:rsid w:val="00271E07"/>
    <w:rsid w:val="002A3B53"/>
    <w:rsid w:val="002A59A2"/>
    <w:rsid w:val="002B2398"/>
    <w:rsid w:val="002E21C6"/>
    <w:rsid w:val="002E7F49"/>
    <w:rsid w:val="00314D7C"/>
    <w:rsid w:val="00341A05"/>
    <w:rsid w:val="003452BD"/>
    <w:rsid w:val="003545EB"/>
    <w:rsid w:val="003611EB"/>
    <w:rsid w:val="003629D4"/>
    <w:rsid w:val="00366C3C"/>
    <w:rsid w:val="00386ED1"/>
    <w:rsid w:val="0039143E"/>
    <w:rsid w:val="003943EC"/>
    <w:rsid w:val="003B3DBD"/>
    <w:rsid w:val="003B4440"/>
    <w:rsid w:val="003B7146"/>
    <w:rsid w:val="003D3DEE"/>
    <w:rsid w:val="003F0154"/>
    <w:rsid w:val="00407502"/>
    <w:rsid w:val="00426027"/>
    <w:rsid w:val="00431ED8"/>
    <w:rsid w:val="00437112"/>
    <w:rsid w:val="0044039E"/>
    <w:rsid w:val="00441285"/>
    <w:rsid w:val="004426DC"/>
    <w:rsid w:val="004438F6"/>
    <w:rsid w:val="00464257"/>
    <w:rsid w:val="0046569A"/>
    <w:rsid w:val="004766CE"/>
    <w:rsid w:val="004934AF"/>
    <w:rsid w:val="00496058"/>
    <w:rsid w:val="004B03FA"/>
    <w:rsid w:val="004B0E66"/>
    <w:rsid w:val="004C3ADC"/>
    <w:rsid w:val="004E1B13"/>
    <w:rsid w:val="0050079B"/>
    <w:rsid w:val="00500B04"/>
    <w:rsid w:val="00500C94"/>
    <w:rsid w:val="00511C91"/>
    <w:rsid w:val="005229E1"/>
    <w:rsid w:val="00537F8B"/>
    <w:rsid w:val="00552154"/>
    <w:rsid w:val="00563B2F"/>
    <w:rsid w:val="00583EBB"/>
    <w:rsid w:val="005878F1"/>
    <w:rsid w:val="005951C0"/>
    <w:rsid w:val="005A0AAB"/>
    <w:rsid w:val="005A6D1F"/>
    <w:rsid w:val="005B1814"/>
    <w:rsid w:val="005C03AC"/>
    <w:rsid w:val="005C3EB1"/>
    <w:rsid w:val="005D1EBA"/>
    <w:rsid w:val="005D2EA1"/>
    <w:rsid w:val="006079BF"/>
    <w:rsid w:val="00621F9F"/>
    <w:rsid w:val="006607D0"/>
    <w:rsid w:val="00690FFA"/>
    <w:rsid w:val="006B1740"/>
    <w:rsid w:val="006D5E4E"/>
    <w:rsid w:val="006E5BFE"/>
    <w:rsid w:val="006F1C21"/>
    <w:rsid w:val="006F255A"/>
    <w:rsid w:val="006F59E8"/>
    <w:rsid w:val="00703B9F"/>
    <w:rsid w:val="0070602C"/>
    <w:rsid w:val="00710AAC"/>
    <w:rsid w:val="00711B1D"/>
    <w:rsid w:val="007369FD"/>
    <w:rsid w:val="0075778F"/>
    <w:rsid w:val="007606C7"/>
    <w:rsid w:val="0076137E"/>
    <w:rsid w:val="00794130"/>
    <w:rsid w:val="00795A34"/>
    <w:rsid w:val="007B52DA"/>
    <w:rsid w:val="007B5AAD"/>
    <w:rsid w:val="007C4593"/>
    <w:rsid w:val="007D01E4"/>
    <w:rsid w:val="007D040D"/>
    <w:rsid w:val="007D6BE5"/>
    <w:rsid w:val="007E7158"/>
    <w:rsid w:val="007F43E0"/>
    <w:rsid w:val="008152EC"/>
    <w:rsid w:val="008233D3"/>
    <w:rsid w:val="00836770"/>
    <w:rsid w:val="00846F48"/>
    <w:rsid w:val="00854EFC"/>
    <w:rsid w:val="00864AA0"/>
    <w:rsid w:val="00865981"/>
    <w:rsid w:val="0087707E"/>
    <w:rsid w:val="008801DB"/>
    <w:rsid w:val="008B1571"/>
    <w:rsid w:val="008B49EC"/>
    <w:rsid w:val="008B76EE"/>
    <w:rsid w:val="008C3950"/>
    <w:rsid w:val="008D02E0"/>
    <w:rsid w:val="008E4B45"/>
    <w:rsid w:val="008F2788"/>
    <w:rsid w:val="00920522"/>
    <w:rsid w:val="009430F4"/>
    <w:rsid w:val="00955783"/>
    <w:rsid w:val="009562AF"/>
    <w:rsid w:val="00960B30"/>
    <w:rsid w:val="00982D8E"/>
    <w:rsid w:val="009947DC"/>
    <w:rsid w:val="009C6EAF"/>
    <w:rsid w:val="009E0A5C"/>
    <w:rsid w:val="009F576A"/>
    <w:rsid w:val="00A32747"/>
    <w:rsid w:val="00A32CEB"/>
    <w:rsid w:val="00A366F7"/>
    <w:rsid w:val="00A726AC"/>
    <w:rsid w:val="00A8375B"/>
    <w:rsid w:val="00A868A7"/>
    <w:rsid w:val="00A93000"/>
    <w:rsid w:val="00A9689D"/>
    <w:rsid w:val="00AB0D73"/>
    <w:rsid w:val="00AB5927"/>
    <w:rsid w:val="00AC08E6"/>
    <w:rsid w:val="00AC68A4"/>
    <w:rsid w:val="00AE2623"/>
    <w:rsid w:val="00AF4C62"/>
    <w:rsid w:val="00AF5AF1"/>
    <w:rsid w:val="00AF707B"/>
    <w:rsid w:val="00B1248C"/>
    <w:rsid w:val="00B1637C"/>
    <w:rsid w:val="00B17980"/>
    <w:rsid w:val="00B24FFB"/>
    <w:rsid w:val="00B274C0"/>
    <w:rsid w:val="00B40309"/>
    <w:rsid w:val="00B40E62"/>
    <w:rsid w:val="00B4759E"/>
    <w:rsid w:val="00B549A5"/>
    <w:rsid w:val="00B55556"/>
    <w:rsid w:val="00B62C2D"/>
    <w:rsid w:val="00B75F67"/>
    <w:rsid w:val="00B868D6"/>
    <w:rsid w:val="00BB0E9A"/>
    <w:rsid w:val="00BB4282"/>
    <w:rsid w:val="00BC49F6"/>
    <w:rsid w:val="00BD0356"/>
    <w:rsid w:val="00BE010A"/>
    <w:rsid w:val="00BF0A26"/>
    <w:rsid w:val="00BF7414"/>
    <w:rsid w:val="00C057EC"/>
    <w:rsid w:val="00C1300C"/>
    <w:rsid w:val="00C174BB"/>
    <w:rsid w:val="00C21EA6"/>
    <w:rsid w:val="00C2467E"/>
    <w:rsid w:val="00C25613"/>
    <w:rsid w:val="00C640CE"/>
    <w:rsid w:val="00C71CA2"/>
    <w:rsid w:val="00C835D5"/>
    <w:rsid w:val="00C86BA8"/>
    <w:rsid w:val="00CD01F1"/>
    <w:rsid w:val="00CE2719"/>
    <w:rsid w:val="00CF2026"/>
    <w:rsid w:val="00CF70E9"/>
    <w:rsid w:val="00D077C5"/>
    <w:rsid w:val="00D16CFF"/>
    <w:rsid w:val="00D409C3"/>
    <w:rsid w:val="00D62AC8"/>
    <w:rsid w:val="00D96432"/>
    <w:rsid w:val="00DB6649"/>
    <w:rsid w:val="00DD1A1A"/>
    <w:rsid w:val="00DD316B"/>
    <w:rsid w:val="00DD3B3C"/>
    <w:rsid w:val="00DE531C"/>
    <w:rsid w:val="00E135B7"/>
    <w:rsid w:val="00E136B6"/>
    <w:rsid w:val="00E34A66"/>
    <w:rsid w:val="00E36825"/>
    <w:rsid w:val="00E63B63"/>
    <w:rsid w:val="00E71CCE"/>
    <w:rsid w:val="00E8587F"/>
    <w:rsid w:val="00EA135D"/>
    <w:rsid w:val="00EA308B"/>
    <w:rsid w:val="00EB2018"/>
    <w:rsid w:val="00EB216D"/>
    <w:rsid w:val="00EB37A2"/>
    <w:rsid w:val="00EC4AE5"/>
    <w:rsid w:val="00EC78F2"/>
    <w:rsid w:val="00ED5D54"/>
    <w:rsid w:val="00EE0081"/>
    <w:rsid w:val="00EE3E14"/>
    <w:rsid w:val="00EE752C"/>
    <w:rsid w:val="00EF66C5"/>
    <w:rsid w:val="00F0193E"/>
    <w:rsid w:val="00F03E82"/>
    <w:rsid w:val="00F056DD"/>
    <w:rsid w:val="00F15AEE"/>
    <w:rsid w:val="00F3290B"/>
    <w:rsid w:val="00F41291"/>
    <w:rsid w:val="00F439C5"/>
    <w:rsid w:val="00F46F4E"/>
    <w:rsid w:val="00F56022"/>
    <w:rsid w:val="00F6332A"/>
    <w:rsid w:val="00F71A63"/>
    <w:rsid w:val="00F96C56"/>
    <w:rsid w:val="00F96E78"/>
    <w:rsid w:val="00FB5ADF"/>
    <w:rsid w:val="00FC4573"/>
    <w:rsid w:val="00FF3AFE"/>
    <w:rsid w:val="00FF652E"/>
    <w:rsid w:val="02030EFA"/>
    <w:rsid w:val="04113882"/>
    <w:rsid w:val="056631E8"/>
    <w:rsid w:val="06063105"/>
    <w:rsid w:val="06176B0B"/>
    <w:rsid w:val="0746622D"/>
    <w:rsid w:val="0A8B7FC7"/>
    <w:rsid w:val="0B5C2981"/>
    <w:rsid w:val="0DF32F45"/>
    <w:rsid w:val="107125F7"/>
    <w:rsid w:val="11404775"/>
    <w:rsid w:val="11E20238"/>
    <w:rsid w:val="12A06ED2"/>
    <w:rsid w:val="130940A4"/>
    <w:rsid w:val="132536A6"/>
    <w:rsid w:val="13CD26A0"/>
    <w:rsid w:val="143F1E25"/>
    <w:rsid w:val="14FF70AA"/>
    <w:rsid w:val="151B4D60"/>
    <w:rsid w:val="155F513E"/>
    <w:rsid w:val="15960175"/>
    <w:rsid w:val="16090D7F"/>
    <w:rsid w:val="174958FE"/>
    <w:rsid w:val="19251458"/>
    <w:rsid w:val="195509C2"/>
    <w:rsid w:val="1A9665F4"/>
    <w:rsid w:val="1AF7442D"/>
    <w:rsid w:val="1F718A72"/>
    <w:rsid w:val="1FCE4519"/>
    <w:rsid w:val="210A0FEE"/>
    <w:rsid w:val="23B2734C"/>
    <w:rsid w:val="23B36D95"/>
    <w:rsid w:val="25966244"/>
    <w:rsid w:val="265D337A"/>
    <w:rsid w:val="274A5A12"/>
    <w:rsid w:val="27522B33"/>
    <w:rsid w:val="27CB10FE"/>
    <w:rsid w:val="293327FD"/>
    <w:rsid w:val="29517F3D"/>
    <w:rsid w:val="2AD2571B"/>
    <w:rsid w:val="2B8F2AF4"/>
    <w:rsid w:val="2BAB10B2"/>
    <w:rsid w:val="2C1F0B15"/>
    <w:rsid w:val="2C287A35"/>
    <w:rsid w:val="2C694E63"/>
    <w:rsid w:val="2C6B2907"/>
    <w:rsid w:val="2CA81AA8"/>
    <w:rsid w:val="2CEE0BF9"/>
    <w:rsid w:val="2D3A2264"/>
    <w:rsid w:val="2EB31008"/>
    <w:rsid w:val="2F2E39CF"/>
    <w:rsid w:val="2F72745F"/>
    <w:rsid w:val="2F902F65"/>
    <w:rsid w:val="2FF93AB8"/>
    <w:rsid w:val="306027E3"/>
    <w:rsid w:val="31DE0499"/>
    <w:rsid w:val="324A7F80"/>
    <w:rsid w:val="325A4457"/>
    <w:rsid w:val="33524FFE"/>
    <w:rsid w:val="34A43C44"/>
    <w:rsid w:val="36AC7044"/>
    <w:rsid w:val="37D028D9"/>
    <w:rsid w:val="38C01AA4"/>
    <w:rsid w:val="39231120"/>
    <w:rsid w:val="39C26445"/>
    <w:rsid w:val="3A4A171C"/>
    <w:rsid w:val="3AD07F9E"/>
    <w:rsid w:val="3AD874D1"/>
    <w:rsid w:val="3E373705"/>
    <w:rsid w:val="3F571F5D"/>
    <w:rsid w:val="3FF7CE69"/>
    <w:rsid w:val="402E1A70"/>
    <w:rsid w:val="408429AF"/>
    <w:rsid w:val="42C745E0"/>
    <w:rsid w:val="43C65A34"/>
    <w:rsid w:val="44304EE9"/>
    <w:rsid w:val="45216DB8"/>
    <w:rsid w:val="46441D01"/>
    <w:rsid w:val="477D2CDC"/>
    <w:rsid w:val="495617A6"/>
    <w:rsid w:val="49DB0B53"/>
    <w:rsid w:val="49E91002"/>
    <w:rsid w:val="4A5C5030"/>
    <w:rsid w:val="4B270426"/>
    <w:rsid w:val="4C0E0300"/>
    <w:rsid w:val="4CF24F97"/>
    <w:rsid w:val="4D266E96"/>
    <w:rsid w:val="4D33744B"/>
    <w:rsid w:val="4EEF07BC"/>
    <w:rsid w:val="51591D00"/>
    <w:rsid w:val="536102B7"/>
    <w:rsid w:val="53CA29F7"/>
    <w:rsid w:val="558C7939"/>
    <w:rsid w:val="55D61765"/>
    <w:rsid w:val="56235E46"/>
    <w:rsid w:val="56312437"/>
    <w:rsid w:val="57E0726A"/>
    <w:rsid w:val="597247E0"/>
    <w:rsid w:val="59BE333D"/>
    <w:rsid w:val="59FA5898"/>
    <w:rsid w:val="5A5574E8"/>
    <w:rsid w:val="5B7B5EF8"/>
    <w:rsid w:val="5BB02879"/>
    <w:rsid w:val="5C292D2B"/>
    <w:rsid w:val="5D117E96"/>
    <w:rsid w:val="5D337D7A"/>
    <w:rsid w:val="5DED32BC"/>
    <w:rsid w:val="5DEF7D23"/>
    <w:rsid w:val="5EB12AF0"/>
    <w:rsid w:val="60587A39"/>
    <w:rsid w:val="60F40B56"/>
    <w:rsid w:val="614C43A3"/>
    <w:rsid w:val="61F25C26"/>
    <w:rsid w:val="63DE5FFD"/>
    <w:rsid w:val="648D0AE7"/>
    <w:rsid w:val="65785CED"/>
    <w:rsid w:val="65DE7A4F"/>
    <w:rsid w:val="66BF6870"/>
    <w:rsid w:val="66FB206F"/>
    <w:rsid w:val="67C27802"/>
    <w:rsid w:val="69D24C34"/>
    <w:rsid w:val="6A154AF9"/>
    <w:rsid w:val="6AAB67E0"/>
    <w:rsid w:val="6BA34B06"/>
    <w:rsid w:val="6BB73C78"/>
    <w:rsid w:val="6BFE115B"/>
    <w:rsid w:val="6C6E1A60"/>
    <w:rsid w:val="6CFB06AB"/>
    <w:rsid w:val="6FF65E53"/>
    <w:rsid w:val="6FF90F4C"/>
    <w:rsid w:val="6FFF963D"/>
    <w:rsid w:val="707B1BD5"/>
    <w:rsid w:val="710140A4"/>
    <w:rsid w:val="71197427"/>
    <w:rsid w:val="716740D9"/>
    <w:rsid w:val="72FC4725"/>
    <w:rsid w:val="73D55FC5"/>
    <w:rsid w:val="73FC5707"/>
    <w:rsid w:val="76DBBA11"/>
    <w:rsid w:val="77643D03"/>
    <w:rsid w:val="782F0E78"/>
    <w:rsid w:val="793C5428"/>
    <w:rsid w:val="79C57A68"/>
    <w:rsid w:val="7A544C80"/>
    <w:rsid w:val="7A567787"/>
    <w:rsid w:val="7AF15725"/>
    <w:rsid w:val="7C49553F"/>
    <w:rsid w:val="7CA03D02"/>
    <w:rsid w:val="7D5D6002"/>
    <w:rsid w:val="7DCA171F"/>
    <w:rsid w:val="7FDD9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726A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A726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A726AC"/>
    <w:pPr>
      <w:spacing w:line="594" w:lineRule="exact"/>
      <w:ind w:firstLineChars="200" w:firstLine="200"/>
    </w:pPr>
    <w:rPr>
      <w:rFonts w:ascii="宋体" w:eastAsia="宋体" w:hAnsi="Courier New" w:cs="仿宋_GB2312"/>
      <w:szCs w:val="21"/>
    </w:rPr>
  </w:style>
  <w:style w:type="paragraph" w:styleId="a4">
    <w:name w:val="Date"/>
    <w:basedOn w:val="a"/>
    <w:next w:val="a"/>
    <w:link w:val="Char"/>
    <w:uiPriority w:val="99"/>
    <w:unhideWhenUsed/>
    <w:qFormat/>
    <w:rsid w:val="00A726AC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A726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A72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A72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A72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A726AC"/>
  </w:style>
  <w:style w:type="character" w:customStyle="1" w:styleId="Char">
    <w:name w:val="日期 Char"/>
    <w:basedOn w:val="a0"/>
    <w:link w:val="a4"/>
    <w:uiPriority w:val="99"/>
    <w:semiHidden/>
    <w:qFormat/>
    <w:rsid w:val="00A726AC"/>
  </w:style>
  <w:style w:type="character" w:customStyle="1" w:styleId="Char0">
    <w:name w:val="批注框文本 Char"/>
    <w:basedOn w:val="a0"/>
    <w:link w:val="a5"/>
    <w:uiPriority w:val="99"/>
    <w:semiHidden/>
    <w:qFormat/>
    <w:rsid w:val="00A726AC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A726AC"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sid w:val="00A726AC"/>
    <w:rPr>
      <w:sz w:val="18"/>
      <w:szCs w:val="18"/>
    </w:rPr>
  </w:style>
  <w:style w:type="paragraph" w:customStyle="1" w:styleId="10">
    <w:name w:val="列表段落1"/>
    <w:basedOn w:val="a"/>
    <w:uiPriority w:val="34"/>
    <w:qFormat/>
    <w:rsid w:val="00A726AC"/>
    <w:pPr>
      <w:ind w:firstLineChars="200" w:firstLine="420"/>
    </w:pPr>
  </w:style>
  <w:style w:type="paragraph" w:styleId="aa">
    <w:name w:val="List Paragraph"/>
    <w:basedOn w:val="a"/>
    <w:uiPriority w:val="34"/>
    <w:qFormat/>
    <w:rsid w:val="00A726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>SAC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</dc:creator>
  <cp:lastModifiedBy>China</cp:lastModifiedBy>
  <cp:revision>168</cp:revision>
  <cp:lastPrinted>2021-08-25T23:28:00Z</cp:lastPrinted>
  <dcterms:created xsi:type="dcterms:W3CDTF">2019-10-20T23:25:00Z</dcterms:created>
  <dcterms:modified xsi:type="dcterms:W3CDTF">2022-07-13T10:52:00Z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289990424_cloud</vt:lpwstr>
  </property>
  <property fmtid="{D5CDD505-2E9C-101B-9397-08002B2CF9AE}" pid="4" name="ICV">
    <vt:lpwstr>ACB0F1E40AE74E47B1B5D104F1979BBD</vt:lpwstr>
  </property>
</Properties>
</file>